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Style w:val="27"/>
          <w:rFonts w:hint="eastAsia" w:ascii="黑体" w:hAnsi="黑体" w:eastAsia="黑体" w:cs="黑体"/>
          <w:b w:val="0"/>
          <w:bCs w:val="0"/>
          <w:i w:val="0"/>
          <w:iCs w:val="0"/>
          <w:sz w:val="32"/>
          <w:szCs w:val="32"/>
          <w:lang w:val="en-US" w:eastAsia="zh-CN"/>
        </w:rPr>
      </w:pPr>
      <w:r>
        <w:rPr>
          <w:rStyle w:val="27"/>
          <w:rFonts w:hint="eastAsia" w:ascii="黑体" w:hAnsi="黑体" w:eastAsia="黑体" w:cs="黑体"/>
          <w:b w:val="0"/>
          <w:bCs w:val="0"/>
          <w:i w:val="0"/>
          <w:iCs w:val="0"/>
          <w:sz w:val="32"/>
          <w:szCs w:val="32"/>
        </w:rPr>
        <w:t>附件</w:t>
      </w:r>
      <w:r>
        <w:rPr>
          <w:rStyle w:val="27"/>
          <w:rFonts w:hint="eastAsia" w:ascii="黑体" w:hAnsi="黑体" w:eastAsia="黑体" w:cs="黑体"/>
          <w:b w:val="0"/>
          <w:bCs w:val="0"/>
          <w:i w:val="0"/>
          <w:iCs w:val="0"/>
          <w:sz w:val="32"/>
          <w:szCs w:val="32"/>
          <w:lang w:val="en-US" w:eastAsia="zh-CN"/>
        </w:rPr>
        <w:t>1</w:t>
      </w:r>
    </w:p>
    <w:p>
      <w:pPr>
        <w:jc w:val="both"/>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广东省建筑起重机械管理系统</w:t>
      </w:r>
    </w:p>
    <w:p>
      <w:pPr>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操作指引</w:t>
      </w: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both"/>
        <w:rPr>
          <w:rFonts w:ascii="黑体" w:hAnsi="黑体" w:eastAsia="黑体"/>
          <w:sz w:val="52"/>
          <w:szCs w:val="52"/>
        </w:rPr>
      </w:pPr>
      <w:bookmarkStart w:id="0" w:name="_GoBack"/>
      <w:bookmarkEnd w:id="0"/>
    </w:p>
    <w:p>
      <w:pPr>
        <w:spacing w:line="360" w:lineRule="auto"/>
        <w:jc w:val="center"/>
        <w:rPr>
          <w:rStyle w:val="27"/>
          <w:rFonts w:ascii="黑体" w:hAnsi="黑体" w:eastAsia="黑体"/>
          <w:i w:val="0"/>
          <w:iCs w:val="0"/>
          <w:sz w:val="40"/>
          <w:szCs w:val="40"/>
        </w:rPr>
        <w:sectPr>
          <w:footerReference r:id="rId3" w:type="default"/>
          <w:pgSz w:w="11906" w:h="16838"/>
          <w:pgMar w:top="1440" w:right="1800" w:bottom="1440" w:left="1800" w:header="851" w:footer="992" w:gutter="0"/>
          <w:pgNumType w:start="1"/>
          <w:cols w:space="425" w:num="1"/>
          <w:titlePg/>
          <w:docGrid w:type="lines" w:linePitch="312" w:charSpace="0"/>
        </w:sectPr>
      </w:pPr>
      <w:r>
        <w:rPr>
          <w:rStyle w:val="27"/>
          <w:rFonts w:hint="eastAsia" w:ascii="黑体" w:hAnsi="黑体" w:eastAsia="黑体"/>
          <w:i w:val="0"/>
          <w:iCs w:val="0"/>
          <w:sz w:val="40"/>
          <w:szCs w:val="40"/>
        </w:rPr>
        <w:t>2022年8月</w:t>
      </w:r>
    </w:p>
    <w:p>
      <w:pPr>
        <w:pStyle w:val="12"/>
        <w:pageBreakBefore/>
      </w:pPr>
      <w:r>
        <w:rPr>
          <w:rFonts w:hint="eastAsia"/>
        </w:rPr>
        <w:t>登录与注册</w:t>
      </w:r>
    </w:p>
    <w:p>
      <w:pPr>
        <w:pStyle w:val="11"/>
        <w:ind w:firstLine="480"/>
      </w:pPr>
      <w:r>
        <w:rPr>
          <w:rFonts w:hint="eastAsia"/>
        </w:rPr>
        <w:t>进入系统（</w:t>
      </w:r>
      <w:r>
        <w:t>https://cranesystem.</w:t>
      </w:r>
      <w:r>
        <w:rPr>
          <w:rFonts w:hint="eastAsia"/>
        </w:rPr>
        <w:t>gdcic</w:t>
      </w:r>
      <w:r>
        <w:t>.</w:t>
      </w:r>
      <w:r>
        <w:rPr>
          <w:rFonts w:hint="eastAsia"/>
        </w:rPr>
        <w:t>net</w:t>
      </w:r>
      <w:r>
        <w:t>）</w:t>
      </w:r>
      <w:r>
        <w:rPr>
          <w:rFonts w:hint="eastAsia"/>
        </w:rPr>
        <w:t>，</w:t>
      </w:r>
      <w:r>
        <w:t>选择企业登录</w:t>
      </w:r>
      <w:r>
        <w:rPr>
          <w:rFonts w:hint="eastAsia"/>
        </w:rPr>
        <w:t>入</w:t>
      </w:r>
      <w:r>
        <w:t>口，点击</w:t>
      </w:r>
      <w:r>
        <w:rPr>
          <w:rFonts w:hint="eastAsia"/>
        </w:rPr>
        <w:t>后</w:t>
      </w:r>
      <w:r>
        <w:t>进入</w:t>
      </w:r>
      <w:r>
        <w:rPr>
          <w:rFonts w:hint="eastAsia"/>
        </w:rPr>
        <w:t>登录</w:t>
      </w:r>
      <w:r>
        <w:t>页面</w:t>
      </w:r>
      <w:r>
        <w:rPr>
          <w:rFonts w:hint="eastAsia"/>
        </w:rPr>
        <w:t>。原系统用户可直接使用账号密码进行登录，如下图。</w:t>
      </w:r>
    </w:p>
    <w:p>
      <w:pPr>
        <w:pStyle w:val="11"/>
        <w:ind w:firstLine="0" w:firstLineChars="0"/>
        <w:jc w:val="center"/>
      </w:pPr>
      <w:r>
        <w:drawing>
          <wp:inline distT="0" distB="0" distL="0" distR="0">
            <wp:extent cx="5274310" cy="30035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3003550"/>
                    </a:xfrm>
                    <a:prstGeom prst="rect">
                      <a:avLst/>
                    </a:prstGeom>
                  </pic:spPr>
                </pic:pic>
              </a:graphicData>
            </a:graphic>
          </wp:inline>
        </w:drawing>
      </w:r>
    </w:p>
    <w:p>
      <w:pPr>
        <w:pStyle w:val="11"/>
        <w:ind w:firstLine="480"/>
      </w:pPr>
      <w:r>
        <w:rPr>
          <w:rFonts w:hint="eastAsia"/>
        </w:rPr>
        <w:t>新用户只能使用广东省统一身份认证平台登录，如下图所示。</w:t>
      </w:r>
    </w:p>
    <w:p>
      <w:pPr>
        <w:pStyle w:val="11"/>
        <w:ind w:firstLine="0" w:firstLineChars="0"/>
        <w:jc w:val="center"/>
      </w:pPr>
      <w:r>
        <w:drawing>
          <wp:inline distT="0" distB="0" distL="0" distR="0">
            <wp:extent cx="5274310" cy="303593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tretch>
                      <a:fillRect/>
                    </a:stretch>
                  </pic:blipFill>
                  <pic:spPr>
                    <a:xfrm>
                      <a:off x="0" y="0"/>
                      <a:ext cx="5274310" cy="3035935"/>
                    </a:xfrm>
                    <a:prstGeom prst="rect">
                      <a:avLst/>
                    </a:prstGeom>
                  </pic:spPr>
                </pic:pic>
              </a:graphicData>
            </a:graphic>
          </wp:inline>
        </w:drawing>
      </w:r>
    </w:p>
    <w:p>
      <w:pPr>
        <w:pStyle w:val="11"/>
        <w:ind w:firstLine="480"/>
      </w:pPr>
    </w:p>
    <w:p>
      <w:pPr>
        <w:pStyle w:val="11"/>
        <w:ind w:firstLine="480"/>
      </w:pPr>
    </w:p>
    <w:p>
      <w:pPr>
        <w:pStyle w:val="11"/>
        <w:ind w:firstLine="480"/>
      </w:pPr>
    </w:p>
    <w:p>
      <w:pPr>
        <w:pStyle w:val="11"/>
        <w:ind w:firstLine="480"/>
      </w:pPr>
    </w:p>
    <w:p>
      <w:pPr>
        <w:pStyle w:val="11"/>
        <w:ind w:firstLine="199" w:firstLineChars="83"/>
      </w:pPr>
      <w:r>
        <w:t>广东省建筑起重机械管理系统小程序入口</w:t>
      </w:r>
      <w:r>
        <w:rPr>
          <w:rFonts w:hint="eastAsia"/>
        </w:rPr>
        <w:t>如下图，请打开微信扫一扫进入。</w:t>
      </w:r>
    </w:p>
    <w:p>
      <w:pPr>
        <w:pStyle w:val="11"/>
        <w:ind w:firstLine="0" w:firstLineChars="0"/>
        <w:jc w:val="center"/>
      </w:pPr>
      <w:r>
        <w:drawing>
          <wp:inline distT="0" distB="0" distL="0" distR="0">
            <wp:extent cx="3582035" cy="35820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84563" cy="3584563"/>
                    </a:xfrm>
                    <a:prstGeom prst="rect">
                      <a:avLst/>
                    </a:prstGeom>
                    <a:noFill/>
                    <a:ln>
                      <a:noFill/>
                    </a:ln>
                  </pic:spPr>
                </pic:pic>
              </a:graphicData>
            </a:graphic>
          </wp:inline>
        </w:drawing>
      </w:r>
    </w:p>
    <w:p>
      <w:pPr>
        <w:pStyle w:val="11"/>
        <w:ind w:firstLine="480"/>
      </w:pPr>
      <w:r>
        <w:rPr>
          <w:rFonts w:hint="eastAsia"/>
        </w:rPr>
        <w:t>新系统上线后，新用户仅允许通过省统一身份认证平台登录，若无省统一身份认证平台账号，可点击注册按钮进入到省统一身份认证平台进行注册。</w:t>
      </w:r>
    </w:p>
    <w:p>
      <w:pPr>
        <w:pStyle w:val="11"/>
        <w:ind w:firstLine="0" w:firstLineChars="0"/>
        <w:jc w:val="center"/>
      </w:pPr>
      <w:r>
        <w:drawing>
          <wp:inline distT="0" distB="0" distL="0" distR="0">
            <wp:extent cx="5356860" cy="4079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361953" cy="4083761"/>
                    </a:xfrm>
                    <a:prstGeom prst="rect">
                      <a:avLst/>
                    </a:prstGeom>
                  </pic:spPr>
                </pic:pic>
              </a:graphicData>
            </a:graphic>
          </wp:inline>
        </w:drawing>
      </w:r>
    </w:p>
    <w:p>
      <w:pPr>
        <w:pStyle w:val="12"/>
        <w:pageBreakBefore/>
      </w:pPr>
      <w:r>
        <w:rPr>
          <w:rFonts w:hint="eastAsia"/>
        </w:rPr>
        <w:t>产权备案与注销</w:t>
      </w:r>
    </w:p>
    <w:p>
      <w:pPr>
        <w:pStyle w:val="11"/>
        <w:ind w:firstLine="480"/>
      </w:pPr>
      <w:r>
        <w:rPr>
          <w:rFonts w:hint="eastAsia"/>
        </w:rPr>
        <w:t>产权备案相关功能有：产权备案、备案注销、产权变更、塔吊标准节管理、施工升降机标准节管理、重要部件管理、已备案设备列表。</w:t>
      </w:r>
    </w:p>
    <w:p>
      <w:pPr>
        <w:pStyle w:val="11"/>
        <w:ind w:firstLine="480"/>
      </w:pPr>
      <w:r>
        <w:rPr>
          <w:rFonts w:hint="eastAsia"/>
        </w:rPr>
        <w:t>产权备案：新建产权备案申请、查看产权备案记录以及下载产权备案证。</w:t>
      </w:r>
    </w:p>
    <w:p>
      <w:pPr>
        <w:pStyle w:val="11"/>
        <w:ind w:firstLine="480"/>
      </w:pPr>
      <w:r>
        <w:rPr>
          <w:rFonts w:hint="eastAsia"/>
        </w:rPr>
        <w:t>备案注销：新建备案注销申请、查看备案注销申请记录。</w:t>
      </w:r>
    </w:p>
    <w:p>
      <w:pPr>
        <w:pStyle w:val="11"/>
        <w:ind w:firstLine="480"/>
      </w:pPr>
      <w:r>
        <w:rPr>
          <w:rFonts w:hint="eastAsia"/>
        </w:rPr>
        <w:t>产权变更：发生产权变更时，可由此申请变更。</w:t>
      </w:r>
    </w:p>
    <w:p>
      <w:pPr>
        <w:pStyle w:val="11"/>
        <w:ind w:firstLine="480"/>
      </w:pPr>
      <w:r>
        <w:rPr>
          <w:rFonts w:hint="eastAsia"/>
        </w:rPr>
        <w:t>塔吊标准节管理：由产权单位对塔吊标准节信息进行录入，录入后形成标准节信息库，塔式起重机每次安装或者顶升的标准节必须从塔式起重机标准节信息库中选取。</w:t>
      </w:r>
    </w:p>
    <w:p>
      <w:pPr>
        <w:pStyle w:val="11"/>
        <w:ind w:firstLine="480"/>
      </w:pPr>
      <w:r>
        <w:rPr>
          <w:rFonts w:hint="eastAsia"/>
        </w:rPr>
        <w:t>施工升降机标准节管理：与塔吊标准节管理相似。</w:t>
      </w:r>
    </w:p>
    <w:p>
      <w:pPr>
        <w:pStyle w:val="11"/>
        <w:ind w:firstLine="480"/>
      </w:pPr>
      <w:r>
        <w:rPr>
          <w:rFonts w:hint="eastAsia"/>
        </w:rPr>
        <w:t>重要部件管理：对重要部件进行基础信息的录入，在起重机械设备使用过程中形成使用、保养维修、检测等履历。</w:t>
      </w:r>
    </w:p>
    <w:p>
      <w:pPr>
        <w:pStyle w:val="11"/>
        <w:ind w:firstLine="480"/>
      </w:pPr>
      <w:r>
        <w:rPr>
          <w:rFonts w:hint="eastAsia"/>
        </w:rPr>
        <w:t>已备案设备列表：显示产权单位所有已备案的设备，并可查看设备履历和下载备案证书。</w:t>
      </w:r>
    </w:p>
    <w:p>
      <w:pPr>
        <w:pStyle w:val="11"/>
        <w:ind w:firstLine="0" w:firstLineChars="0"/>
      </w:pPr>
      <w:r>
        <w:drawing>
          <wp:inline distT="0" distB="0" distL="0" distR="0">
            <wp:extent cx="5274310" cy="2779395"/>
            <wp:effectExtent l="0" t="0" r="254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274310" cy="2779395"/>
                    </a:xfrm>
                    <a:prstGeom prst="rect">
                      <a:avLst/>
                    </a:prstGeom>
                  </pic:spPr>
                </pic:pic>
              </a:graphicData>
            </a:graphic>
          </wp:inline>
        </w:drawing>
      </w:r>
    </w:p>
    <w:p>
      <w:pPr>
        <w:pStyle w:val="12"/>
        <w:pageBreakBefore/>
      </w:pPr>
      <w:r>
        <w:rPr>
          <w:rFonts w:hint="eastAsia"/>
        </w:rPr>
        <w:t>安装告知</w:t>
      </w:r>
    </w:p>
    <w:p>
      <w:pPr>
        <w:pStyle w:val="11"/>
        <w:ind w:firstLine="480"/>
      </w:pPr>
      <w:r>
        <w:rPr>
          <w:rFonts w:hint="eastAsia"/>
        </w:rPr>
        <w:t>起重机械进行安装前，需由安装单位发起安装告知，经总包监理审核后提交监督机构审核。</w:t>
      </w:r>
    </w:p>
    <w:p>
      <w:pPr>
        <w:pStyle w:val="11"/>
        <w:ind w:firstLine="480"/>
      </w:pPr>
      <w:r>
        <w:rPr>
          <w:rFonts w:hint="eastAsia"/>
        </w:rPr>
        <w:t>起重机械安装前若发生作业人员或作业时间变更，可通过“安装作业人员变更”、“安装作业时间变更”入口进入办理变更业务，变更申请提交总包监理审核。</w:t>
      </w:r>
    </w:p>
    <w:p>
      <w:pPr>
        <w:pStyle w:val="11"/>
        <w:ind w:firstLine="480"/>
      </w:pPr>
      <w:r>
        <w:rPr>
          <w:rFonts w:hint="eastAsia"/>
        </w:rPr>
        <w:t>安装告知业务办理流程如下：</w:t>
      </w:r>
    </w:p>
    <w:p>
      <w:pPr>
        <w:pStyle w:val="11"/>
        <w:ind w:firstLine="0" w:firstLineChars="0"/>
      </w:pPr>
      <w:r>
        <w:drawing>
          <wp:inline distT="0" distB="0" distL="0" distR="0">
            <wp:extent cx="5274310" cy="11804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180465"/>
                    </a:xfrm>
                    <a:prstGeom prst="rect">
                      <a:avLst/>
                    </a:prstGeom>
                    <a:noFill/>
                    <a:ln>
                      <a:noFill/>
                    </a:ln>
                  </pic:spPr>
                </pic:pic>
              </a:graphicData>
            </a:graphic>
          </wp:inline>
        </w:drawing>
      </w:r>
    </w:p>
    <w:p>
      <w:pPr>
        <w:pStyle w:val="11"/>
        <w:ind w:firstLine="480"/>
      </w:pPr>
      <w:r>
        <w:rPr>
          <w:rFonts w:hint="eastAsia"/>
        </w:rPr>
        <w:t>安装单位相关功能有：安装告知申请、安装作业人员变更、安装作业时间变更。</w:t>
      </w:r>
    </w:p>
    <w:p>
      <w:pPr>
        <w:pStyle w:val="11"/>
        <w:ind w:firstLine="0" w:firstLineChars="0"/>
      </w:pPr>
      <w:r>
        <w:drawing>
          <wp:inline distT="0" distB="0" distL="0" distR="0">
            <wp:extent cx="5274310" cy="15735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1573530"/>
                    </a:xfrm>
                    <a:prstGeom prst="rect">
                      <a:avLst/>
                    </a:prstGeom>
                  </pic:spPr>
                </pic:pic>
              </a:graphicData>
            </a:graphic>
          </wp:inline>
        </w:drawing>
      </w:r>
    </w:p>
    <w:p>
      <w:pPr>
        <w:pStyle w:val="11"/>
        <w:ind w:firstLine="480"/>
      </w:pPr>
      <w:r>
        <w:rPr>
          <w:rFonts w:hint="eastAsia"/>
        </w:rPr>
        <w:t>总包和监理单位相关功能有：安装告知的管理、安装作业人员变更管理、安装作业时间变更管理。</w:t>
      </w:r>
    </w:p>
    <w:p>
      <w:pPr>
        <w:pStyle w:val="11"/>
        <w:ind w:firstLine="0" w:firstLineChars="0"/>
      </w:pPr>
      <w:r>
        <w:drawing>
          <wp:inline distT="0" distB="0" distL="0" distR="0">
            <wp:extent cx="5274310" cy="27762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776220"/>
                    </a:xfrm>
                    <a:prstGeom prst="rect">
                      <a:avLst/>
                    </a:prstGeom>
                  </pic:spPr>
                </pic:pic>
              </a:graphicData>
            </a:graphic>
          </wp:inline>
        </w:drawing>
      </w:r>
    </w:p>
    <w:p>
      <w:pPr>
        <w:pStyle w:val="12"/>
        <w:pageBreakBefore/>
      </w:pPr>
      <w:r>
        <w:rPr>
          <w:rFonts w:hint="eastAsia"/>
        </w:rPr>
        <w:t>安装作业过程</w:t>
      </w:r>
    </w:p>
    <w:p>
      <w:pPr>
        <w:pStyle w:val="11"/>
        <w:ind w:firstLine="480"/>
      </w:pPr>
      <w:r>
        <w:rPr>
          <w:rFonts w:hint="eastAsia"/>
        </w:rPr>
        <w:t>起重机械安装过程中，需在小程序上对安装作业过程进行记录，安装作业过程业务流程如下：</w:t>
      </w:r>
    </w:p>
    <w:p>
      <w:pPr>
        <w:pStyle w:val="11"/>
        <w:ind w:firstLine="0" w:firstLineChars="0"/>
      </w:pPr>
      <w:r>
        <w:drawing>
          <wp:inline distT="0" distB="0" distL="0" distR="0">
            <wp:extent cx="5274310" cy="1990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990090"/>
                    </a:xfrm>
                    <a:prstGeom prst="rect">
                      <a:avLst/>
                    </a:prstGeom>
                    <a:noFill/>
                    <a:ln>
                      <a:noFill/>
                    </a:ln>
                  </pic:spPr>
                </pic:pic>
              </a:graphicData>
            </a:graphic>
          </wp:inline>
        </w:drawing>
      </w:r>
    </w:p>
    <w:p>
      <w:pPr>
        <w:pStyle w:val="11"/>
        <w:ind w:firstLine="480"/>
      </w:pPr>
      <w:r>
        <w:rPr>
          <w:rFonts w:hint="eastAsia"/>
        </w:rPr>
        <w:t>安装单位、总包单位、监理单位需使用小程序登录后，进入“安装作业”办理安装作业过程相关业务。</w:t>
      </w:r>
    </w:p>
    <w:p>
      <w:pPr>
        <w:pStyle w:val="11"/>
        <w:ind w:firstLine="0" w:firstLineChars="0"/>
      </w:pPr>
      <w:r>
        <w:drawing>
          <wp:inline distT="0" distB="0" distL="0" distR="0">
            <wp:extent cx="5274310" cy="44303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4430395"/>
                    </a:xfrm>
                    <a:prstGeom prst="rect">
                      <a:avLst/>
                    </a:prstGeom>
                  </pic:spPr>
                </pic:pic>
              </a:graphicData>
            </a:graphic>
          </wp:inline>
        </w:drawing>
      </w:r>
    </w:p>
    <w:p>
      <w:pPr>
        <w:pStyle w:val="12"/>
      </w:pPr>
      <w:r>
        <w:rPr>
          <w:rFonts w:hint="eastAsia"/>
        </w:rPr>
        <w:t>检验检测</w:t>
      </w:r>
    </w:p>
    <w:p>
      <w:pPr>
        <w:pStyle w:val="11"/>
        <w:ind w:firstLine="480"/>
      </w:pPr>
      <w:r>
        <w:rPr>
          <w:rFonts w:hint="eastAsia"/>
        </w:rPr>
        <w:t>在起重机械安装完或需要进行检测时，由使用单位发起检测委托信息，系统将委托发给相应的检测单位，检测单位受理后，制定检测计划并进行现场检测，并最终在系统中上传检测报告。</w:t>
      </w:r>
    </w:p>
    <w:p>
      <w:pPr>
        <w:pStyle w:val="11"/>
        <w:ind w:firstLine="480"/>
      </w:pPr>
      <w:r>
        <w:rPr>
          <w:rFonts w:hint="eastAsia"/>
        </w:rPr>
        <w:t>检验检测业务流程如下：</w:t>
      </w:r>
    </w:p>
    <w:p>
      <w:pPr>
        <w:pStyle w:val="11"/>
        <w:ind w:firstLine="0" w:firstLineChars="0"/>
      </w:pPr>
      <w:r>
        <w:drawing>
          <wp:inline distT="0" distB="0" distL="0" distR="0">
            <wp:extent cx="5274310" cy="11385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138555"/>
                    </a:xfrm>
                    <a:prstGeom prst="rect">
                      <a:avLst/>
                    </a:prstGeom>
                    <a:noFill/>
                    <a:ln>
                      <a:noFill/>
                    </a:ln>
                  </pic:spPr>
                </pic:pic>
              </a:graphicData>
            </a:graphic>
          </wp:inline>
        </w:drawing>
      </w:r>
    </w:p>
    <w:p>
      <w:pPr>
        <w:pStyle w:val="11"/>
        <w:ind w:firstLine="480"/>
      </w:pPr>
      <w:r>
        <w:rPr>
          <w:rFonts w:hint="eastAsia"/>
        </w:rPr>
        <w:t>使用单位在电脑端提交检测委托，检测单位在电脑端进行检测委托的受理以及最终提交检测结果和上传检测报告。</w:t>
      </w:r>
    </w:p>
    <w:p>
      <w:pPr>
        <w:pStyle w:val="11"/>
        <w:ind w:firstLine="0" w:firstLineChars="0"/>
      </w:pPr>
      <w:r>
        <w:drawing>
          <wp:inline distT="0" distB="0" distL="0" distR="0">
            <wp:extent cx="5274310" cy="15614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1561465"/>
                    </a:xfrm>
                    <a:prstGeom prst="rect">
                      <a:avLst/>
                    </a:prstGeom>
                  </pic:spPr>
                </pic:pic>
              </a:graphicData>
            </a:graphic>
          </wp:inline>
        </w:drawing>
      </w:r>
    </w:p>
    <w:p>
      <w:pPr>
        <w:pStyle w:val="11"/>
        <w:ind w:firstLine="480"/>
      </w:pPr>
      <w:r>
        <w:rPr>
          <w:rFonts w:hint="eastAsia"/>
        </w:rPr>
        <w:t>检测单位在小程序进行检测计划的制定、现场检测照片的上传、现场检测结果的上报。</w:t>
      </w:r>
    </w:p>
    <w:p>
      <w:pPr>
        <w:pStyle w:val="11"/>
        <w:ind w:firstLine="0" w:firstLineChars="0"/>
        <w:jc w:val="center"/>
      </w:pPr>
      <w:r>
        <w:drawing>
          <wp:inline distT="0" distB="0" distL="0" distR="0">
            <wp:extent cx="4866640" cy="3166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895155" cy="3184856"/>
                    </a:xfrm>
                    <a:prstGeom prst="rect">
                      <a:avLst/>
                    </a:prstGeom>
                  </pic:spPr>
                </pic:pic>
              </a:graphicData>
            </a:graphic>
          </wp:inline>
        </w:drawing>
      </w:r>
    </w:p>
    <w:p>
      <w:pPr>
        <w:pStyle w:val="12"/>
        <w:pageBreakBefore/>
      </w:pPr>
      <w:r>
        <w:rPr>
          <w:rFonts w:hint="eastAsia"/>
        </w:rPr>
        <w:t>安装验收</w:t>
      </w:r>
    </w:p>
    <w:p>
      <w:pPr>
        <w:pStyle w:val="11"/>
        <w:ind w:firstLine="480"/>
      </w:pPr>
      <w:r>
        <w:rPr>
          <w:rFonts w:hint="eastAsia"/>
        </w:rPr>
        <w:t>设备在检测完成后需进行安装验收，由总包单位在系统上传验收材料，监理单位审核。</w:t>
      </w:r>
    </w:p>
    <w:p>
      <w:pPr>
        <w:pStyle w:val="11"/>
        <w:ind w:firstLine="480"/>
      </w:pPr>
      <w:r>
        <w:rPr>
          <w:rFonts w:hint="eastAsia"/>
        </w:rPr>
        <w:t>安装验收业务流程如下：</w:t>
      </w:r>
    </w:p>
    <w:p>
      <w:pPr>
        <w:pStyle w:val="11"/>
        <w:ind w:firstLine="0" w:firstLineChars="0"/>
      </w:pPr>
      <w:r>
        <w:drawing>
          <wp:inline distT="0" distB="0" distL="0" distR="0">
            <wp:extent cx="5274310" cy="8388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838835"/>
                    </a:xfrm>
                    <a:prstGeom prst="rect">
                      <a:avLst/>
                    </a:prstGeom>
                    <a:noFill/>
                    <a:ln>
                      <a:noFill/>
                    </a:ln>
                  </pic:spPr>
                </pic:pic>
              </a:graphicData>
            </a:graphic>
          </wp:inline>
        </w:drawing>
      </w:r>
    </w:p>
    <w:p>
      <w:pPr>
        <w:pStyle w:val="11"/>
        <w:ind w:firstLine="480"/>
      </w:pPr>
      <w:r>
        <w:rPr>
          <w:rFonts w:hint="eastAsia"/>
        </w:rPr>
        <w:t>总包单位安装验收入口：</w:t>
      </w:r>
    </w:p>
    <w:p>
      <w:pPr>
        <w:pStyle w:val="11"/>
        <w:ind w:firstLine="0" w:firstLineChars="0"/>
      </w:pPr>
      <w:r>
        <w:drawing>
          <wp:inline distT="0" distB="0" distL="0" distR="0">
            <wp:extent cx="5274310" cy="27641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2764155"/>
                    </a:xfrm>
                    <a:prstGeom prst="rect">
                      <a:avLst/>
                    </a:prstGeom>
                  </pic:spPr>
                </pic:pic>
              </a:graphicData>
            </a:graphic>
          </wp:inline>
        </w:drawing>
      </w:r>
    </w:p>
    <w:p>
      <w:pPr>
        <w:pStyle w:val="11"/>
        <w:ind w:firstLine="480"/>
      </w:pPr>
      <w:r>
        <w:rPr>
          <w:rFonts w:hint="eastAsia"/>
        </w:rPr>
        <w:t>监理单位安装验收审核入口：</w:t>
      </w:r>
    </w:p>
    <w:p>
      <w:pPr>
        <w:pStyle w:val="11"/>
        <w:ind w:firstLine="0" w:firstLineChars="0"/>
      </w:pPr>
      <w:r>
        <w:drawing>
          <wp:inline distT="0" distB="0" distL="0" distR="0">
            <wp:extent cx="5274310" cy="27952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795270"/>
                    </a:xfrm>
                    <a:prstGeom prst="rect">
                      <a:avLst/>
                    </a:prstGeom>
                  </pic:spPr>
                </pic:pic>
              </a:graphicData>
            </a:graphic>
          </wp:inline>
        </w:drawing>
      </w:r>
    </w:p>
    <w:p>
      <w:pPr>
        <w:pStyle w:val="12"/>
      </w:pPr>
      <w:r>
        <w:rPr>
          <w:rFonts w:hint="eastAsia"/>
        </w:rPr>
        <w:t>使用登记</w:t>
      </w:r>
    </w:p>
    <w:p>
      <w:pPr>
        <w:pStyle w:val="11"/>
        <w:ind w:firstLine="480"/>
      </w:pPr>
      <w:r>
        <w:rPr>
          <w:rFonts w:hint="eastAsia"/>
        </w:rPr>
        <w:t>在完成安装验收后，由使用单位发起使用登记并填报相关信息，提交总包监理、监督机构审核，审核通过后发放使用登记牌。</w:t>
      </w:r>
    </w:p>
    <w:p>
      <w:pPr>
        <w:pStyle w:val="11"/>
        <w:ind w:firstLine="480"/>
      </w:pPr>
      <w:r>
        <w:rPr>
          <w:rFonts w:hint="eastAsia"/>
        </w:rPr>
        <w:t>使用登记延期：当使用满一年后，在系统中办理使用登记延期。</w:t>
      </w:r>
    </w:p>
    <w:p>
      <w:pPr>
        <w:pStyle w:val="11"/>
        <w:ind w:firstLine="480"/>
      </w:pPr>
      <w:r>
        <w:rPr>
          <w:rFonts w:hint="eastAsia"/>
        </w:rPr>
        <w:t>使用人员变更：当使用过程中，使用人员发生变化，需通过此功能申请人员变更。</w:t>
      </w:r>
    </w:p>
    <w:p>
      <w:pPr>
        <w:pStyle w:val="11"/>
        <w:ind w:firstLine="480"/>
      </w:pPr>
      <w:r>
        <w:rPr>
          <w:rFonts w:hint="eastAsia"/>
        </w:rPr>
        <w:t>使用登记牌变更：使用过程中发生产权变更，需重新生成使用登记牌信息。</w:t>
      </w:r>
    </w:p>
    <w:p>
      <w:pPr>
        <w:pStyle w:val="11"/>
        <w:ind w:firstLine="480"/>
      </w:pPr>
      <w:r>
        <w:rPr>
          <w:rFonts w:hint="eastAsia"/>
        </w:rPr>
        <w:t>使用登记业务流程如下：</w:t>
      </w:r>
    </w:p>
    <w:p>
      <w:pPr>
        <w:pStyle w:val="11"/>
        <w:ind w:firstLine="0" w:firstLineChars="0"/>
      </w:pPr>
      <w:r>
        <w:drawing>
          <wp:inline distT="0" distB="0" distL="0" distR="0">
            <wp:extent cx="5274310" cy="117221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1172210"/>
                    </a:xfrm>
                    <a:prstGeom prst="rect">
                      <a:avLst/>
                    </a:prstGeom>
                    <a:noFill/>
                    <a:ln>
                      <a:noFill/>
                    </a:ln>
                  </pic:spPr>
                </pic:pic>
              </a:graphicData>
            </a:graphic>
          </wp:inline>
        </w:drawing>
      </w:r>
    </w:p>
    <w:p>
      <w:pPr>
        <w:pStyle w:val="11"/>
        <w:ind w:firstLine="480"/>
      </w:pPr>
      <w:r>
        <w:rPr>
          <w:rFonts w:hint="eastAsia"/>
        </w:rPr>
        <w:t>使用单位的使用登记业务入口如下：</w:t>
      </w:r>
    </w:p>
    <w:p>
      <w:pPr>
        <w:pStyle w:val="11"/>
        <w:ind w:firstLine="0" w:firstLineChars="0"/>
      </w:pPr>
      <w:r>
        <w:drawing>
          <wp:inline distT="0" distB="0" distL="0" distR="0">
            <wp:extent cx="5274310" cy="27819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74310" cy="2781935"/>
                    </a:xfrm>
                    <a:prstGeom prst="rect">
                      <a:avLst/>
                    </a:prstGeom>
                  </pic:spPr>
                </pic:pic>
              </a:graphicData>
            </a:graphic>
          </wp:inline>
        </w:drawing>
      </w:r>
    </w:p>
    <w:p>
      <w:pPr>
        <w:pStyle w:val="11"/>
        <w:ind w:firstLine="480"/>
      </w:pPr>
      <w:r>
        <w:rPr>
          <w:rFonts w:hint="eastAsia"/>
        </w:rPr>
        <w:t>总包监理单位的使用登记业务入口如下：</w:t>
      </w:r>
    </w:p>
    <w:p>
      <w:pPr>
        <w:pStyle w:val="11"/>
        <w:ind w:firstLine="0" w:firstLineChars="0"/>
      </w:pPr>
      <w:r>
        <w:drawing>
          <wp:inline distT="0" distB="0" distL="0" distR="0">
            <wp:extent cx="5274310" cy="15843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1584325"/>
                    </a:xfrm>
                    <a:prstGeom prst="rect">
                      <a:avLst/>
                    </a:prstGeom>
                  </pic:spPr>
                </pic:pic>
              </a:graphicData>
            </a:graphic>
          </wp:inline>
        </w:drawing>
      </w:r>
    </w:p>
    <w:p>
      <w:pPr>
        <w:pStyle w:val="12"/>
      </w:pPr>
      <w:r>
        <w:rPr>
          <w:rFonts w:hint="eastAsia"/>
        </w:rPr>
        <w:t>顶升业务</w:t>
      </w:r>
    </w:p>
    <w:p>
      <w:pPr>
        <w:pStyle w:val="11"/>
        <w:ind w:firstLine="480"/>
      </w:pPr>
      <w:r>
        <w:rPr>
          <w:rFonts w:hint="eastAsia"/>
        </w:rPr>
        <w:t>当起重机械使用过程中需要加节顶升的，需要提前在小程序中告知顶升计划，并使用小程序记录顶升过程。</w:t>
      </w:r>
    </w:p>
    <w:p>
      <w:pPr>
        <w:pStyle w:val="11"/>
        <w:ind w:firstLine="480"/>
      </w:pPr>
      <w:r>
        <w:rPr>
          <w:rFonts w:hint="eastAsia"/>
        </w:rPr>
        <w:t>顶升业务流程如下：</w:t>
      </w:r>
    </w:p>
    <w:p>
      <w:pPr>
        <w:pStyle w:val="11"/>
        <w:ind w:firstLine="0" w:firstLineChars="0"/>
      </w:pPr>
      <w:r>
        <w:drawing>
          <wp:inline distT="0" distB="0" distL="0" distR="0">
            <wp:extent cx="5274310" cy="20447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044700"/>
                    </a:xfrm>
                    <a:prstGeom prst="rect">
                      <a:avLst/>
                    </a:prstGeom>
                    <a:noFill/>
                    <a:ln>
                      <a:noFill/>
                    </a:ln>
                  </pic:spPr>
                </pic:pic>
              </a:graphicData>
            </a:graphic>
          </wp:inline>
        </w:drawing>
      </w:r>
    </w:p>
    <w:p>
      <w:pPr>
        <w:pStyle w:val="11"/>
        <w:ind w:firstLine="480"/>
      </w:pPr>
      <w:r>
        <w:t>安装</w:t>
      </w:r>
      <w:r>
        <w:rPr>
          <w:rFonts w:hint="eastAsia"/>
        </w:rPr>
        <w:t>单位、总包监理</w:t>
      </w:r>
      <w:r>
        <w:t>单位</w:t>
      </w:r>
      <w:r>
        <w:rPr>
          <w:rFonts w:hint="eastAsia"/>
        </w:rPr>
        <w:t>需进入小程序处理</w:t>
      </w:r>
      <w:r>
        <w:t>顶升业务</w:t>
      </w:r>
      <w:r>
        <w:rPr>
          <w:rFonts w:hint="eastAsia"/>
        </w:rPr>
        <w:t>，参考安装作业过程章节。顶升完成后，需由安装单位在电脑端上传顶升自检报告。</w:t>
      </w:r>
    </w:p>
    <w:p>
      <w:pPr>
        <w:pStyle w:val="11"/>
        <w:ind w:firstLine="0" w:firstLineChars="0"/>
      </w:pPr>
      <w:r>
        <w:drawing>
          <wp:inline distT="0" distB="0" distL="0" distR="0">
            <wp:extent cx="5274310" cy="157289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1572895"/>
                    </a:xfrm>
                    <a:prstGeom prst="rect">
                      <a:avLst/>
                    </a:prstGeom>
                  </pic:spPr>
                </pic:pic>
              </a:graphicData>
            </a:graphic>
          </wp:inline>
        </w:drawing>
      </w:r>
    </w:p>
    <w:p>
      <w:pPr>
        <w:pStyle w:val="11"/>
        <w:ind w:firstLine="480"/>
      </w:pPr>
      <w:r>
        <w:rPr>
          <w:rFonts w:hint="eastAsia"/>
        </w:rPr>
        <w:t>上传顶升自检报告后，需由总包单位上传顶升验收资料。</w:t>
      </w:r>
    </w:p>
    <w:p>
      <w:pPr>
        <w:pStyle w:val="11"/>
        <w:ind w:firstLine="0" w:firstLineChars="0"/>
      </w:pPr>
      <w:r>
        <w:drawing>
          <wp:inline distT="0" distB="0" distL="0" distR="0">
            <wp:extent cx="5219700" cy="2775585"/>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20182" cy="2776011"/>
                    </a:xfrm>
                    <a:prstGeom prst="rect">
                      <a:avLst/>
                    </a:prstGeom>
                  </pic:spPr>
                </pic:pic>
              </a:graphicData>
            </a:graphic>
          </wp:inline>
        </w:drawing>
      </w:r>
    </w:p>
    <w:p>
      <w:pPr>
        <w:pStyle w:val="12"/>
      </w:pPr>
      <w:r>
        <w:rPr>
          <w:rFonts w:hint="eastAsia"/>
        </w:rPr>
        <w:t>拆卸告知</w:t>
      </w:r>
    </w:p>
    <w:p>
      <w:pPr>
        <w:pStyle w:val="11"/>
        <w:ind w:firstLine="480"/>
      </w:pPr>
      <w:r>
        <w:rPr>
          <w:rFonts w:hint="eastAsia"/>
        </w:rPr>
        <w:t>起重机械在进行拆卸前，需由拆卸单位发起拆卸告知。</w:t>
      </w:r>
    </w:p>
    <w:p>
      <w:pPr>
        <w:pStyle w:val="11"/>
        <w:ind w:firstLine="480"/>
      </w:pPr>
      <w:r>
        <w:rPr>
          <w:rFonts w:hint="eastAsia"/>
        </w:rPr>
        <w:t>起重机械拆卸前若发生作业人员或作业时间变更，可通过“拆卸作业人员变更”、“拆卸作业时间变更”入口进入办理变更业务，变更申请提交总包监理审核。</w:t>
      </w:r>
    </w:p>
    <w:p>
      <w:pPr>
        <w:pStyle w:val="11"/>
        <w:ind w:firstLine="480"/>
      </w:pPr>
      <w:r>
        <w:rPr>
          <w:rFonts w:hint="eastAsia"/>
        </w:rPr>
        <w:t>拆卸告知业务办理流程如下：</w:t>
      </w:r>
    </w:p>
    <w:p>
      <w:pPr>
        <w:pStyle w:val="11"/>
        <w:ind w:firstLine="0" w:firstLineChars="0"/>
      </w:pPr>
      <w:r>
        <w:drawing>
          <wp:inline distT="0" distB="0" distL="0" distR="0">
            <wp:extent cx="5274310" cy="11303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1130300"/>
                    </a:xfrm>
                    <a:prstGeom prst="rect">
                      <a:avLst/>
                    </a:prstGeom>
                    <a:noFill/>
                    <a:ln>
                      <a:noFill/>
                    </a:ln>
                  </pic:spPr>
                </pic:pic>
              </a:graphicData>
            </a:graphic>
          </wp:inline>
        </w:drawing>
      </w:r>
    </w:p>
    <w:p>
      <w:pPr>
        <w:pStyle w:val="11"/>
        <w:ind w:firstLine="480"/>
      </w:pPr>
      <w:r>
        <w:rPr>
          <w:rFonts w:hint="eastAsia"/>
        </w:rPr>
        <w:t>拆卸单位相关功能有：拆卸告知申请、拆卸作业人员变更、拆卸作业时间变更。</w:t>
      </w:r>
    </w:p>
    <w:p>
      <w:pPr>
        <w:pStyle w:val="11"/>
        <w:ind w:firstLine="0" w:firstLineChars="0"/>
      </w:pPr>
      <w:r>
        <w:drawing>
          <wp:inline distT="0" distB="0" distL="0" distR="0">
            <wp:extent cx="5274310" cy="1533525"/>
            <wp:effectExtent l="0" t="0" r="254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4310" cy="1533525"/>
                    </a:xfrm>
                    <a:prstGeom prst="rect">
                      <a:avLst/>
                    </a:prstGeom>
                  </pic:spPr>
                </pic:pic>
              </a:graphicData>
            </a:graphic>
          </wp:inline>
        </w:drawing>
      </w:r>
    </w:p>
    <w:p>
      <w:pPr>
        <w:pStyle w:val="11"/>
        <w:ind w:firstLine="480"/>
      </w:pPr>
      <w:r>
        <w:rPr>
          <w:rFonts w:hint="eastAsia"/>
        </w:rPr>
        <w:t>总包和监理单位相关功能有：拆卸告知管理、拆卸作业人员变更管理、拆卸作业时间变更管理。</w:t>
      </w:r>
    </w:p>
    <w:p>
      <w:pPr>
        <w:pStyle w:val="11"/>
        <w:ind w:firstLine="0" w:firstLineChars="0"/>
      </w:pPr>
      <w:r>
        <w:drawing>
          <wp:inline distT="0" distB="0" distL="0" distR="0">
            <wp:extent cx="5274310" cy="155003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1550035"/>
                    </a:xfrm>
                    <a:prstGeom prst="rect">
                      <a:avLst/>
                    </a:prstGeom>
                  </pic:spPr>
                </pic:pic>
              </a:graphicData>
            </a:graphic>
          </wp:inline>
        </w:drawing>
      </w:r>
    </w:p>
    <w:p>
      <w:pPr>
        <w:pStyle w:val="12"/>
        <w:pageBreakBefore/>
      </w:pPr>
      <w:r>
        <w:rPr>
          <w:rFonts w:hint="eastAsia"/>
        </w:rPr>
        <w:t>拆卸作业过程</w:t>
      </w:r>
    </w:p>
    <w:p>
      <w:pPr>
        <w:pStyle w:val="11"/>
        <w:ind w:firstLine="480"/>
      </w:pPr>
      <w:r>
        <w:rPr>
          <w:rFonts w:hint="eastAsia"/>
        </w:rPr>
        <w:t>起重机械在拆卸过程中，需在小程序上对拆卸作业过程进行记录，拆卸作业过程业务流程如下：</w:t>
      </w:r>
    </w:p>
    <w:p>
      <w:pPr>
        <w:pStyle w:val="11"/>
        <w:ind w:firstLine="0" w:firstLineChars="0"/>
      </w:pPr>
      <w:r>
        <w:drawing>
          <wp:inline distT="0" distB="0" distL="0" distR="0">
            <wp:extent cx="5274310" cy="194818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1948180"/>
                    </a:xfrm>
                    <a:prstGeom prst="rect">
                      <a:avLst/>
                    </a:prstGeom>
                    <a:noFill/>
                    <a:ln>
                      <a:noFill/>
                    </a:ln>
                  </pic:spPr>
                </pic:pic>
              </a:graphicData>
            </a:graphic>
          </wp:inline>
        </w:drawing>
      </w:r>
    </w:p>
    <w:p>
      <w:pPr>
        <w:pStyle w:val="11"/>
        <w:ind w:firstLine="0" w:firstLineChars="0"/>
      </w:pPr>
      <w:r>
        <w:rPr>
          <w:rFonts w:hint="eastAsia"/>
        </w:rPr>
        <w:t>安装单位、总包单位、监理单位需使用小程序登录后，进入“拆卸作业”办理拆卸作业过程相关业务。</w:t>
      </w:r>
    </w:p>
    <w:p>
      <w:pPr>
        <w:pStyle w:val="11"/>
        <w:ind w:firstLine="0" w:firstLineChars="0"/>
      </w:pPr>
      <w:r>
        <w:drawing>
          <wp:inline distT="0" distB="0" distL="0" distR="0">
            <wp:extent cx="5274310" cy="42722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4310" cy="4272280"/>
                    </a:xfrm>
                    <a:prstGeom prst="rect">
                      <a:avLst/>
                    </a:prstGeom>
                  </pic:spPr>
                </pic:pic>
              </a:graphicData>
            </a:graphic>
          </wp:inline>
        </w:drawing>
      </w:r>
    </w:p>
    <w:p>
      <w:pPr>
        <w:pStyle w:val="12"/>
        <w:pageBreakBefore/>
      </w:pPr>
      <w:r>
        <w:rPr>
          <w:rFonts w:hint="eastAsia"/>
        </w:rPr>
        <w:t>终端绑定与解绑</w:t>
      </w:r>
    </w:p>
    <w:p>
      <w:pPr>
        <w:pStyle w:val="11"/>
        <w:ind w:firstLine="480"/>
      </w:pPr>
      <w:r>
        <w:rPr>
          <w:rFonts w:hint="eastAsia"/>
        </w:rPr>
        <w:t>在起重机械安装完成后，终端单位可对设备进行终端的绑定，在设备拆卸前，由终端单位对设备进行终端的解绑。</w:t>
      </w:r>
    </w:p>
    <w:p>
      <w:pPr>
        <w:pStyle w:val="11"/>
        <w:ind w:firstLine="480"/>
      </w:pPr>
      <w:r>
        <w:rPr>
          <w:rFonts w:hint="eastAsia"/>
        </w:rPr>
        <w:t>终端单位需先使用“终端管理”功能，录入终端信息。之后使用终端绑定功能绑定需要进行监控的起重机械。入口如下：</w:t>
      </w:r>
    </w:p>
    <w:p>
      <w:pPr>
        <w:pStyle w:val="11"/>
        <w:ind w:firstLine="0" w:firstLineChars="0"/>
      </w:pPr>
      <w:r>
        <w:drawing>
          <wp:inline distT="0" distB="0" distL="0" distR="0">
            <wp:extent cx="5274310" cy="15621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1562100"/>
                    </a:xfrm>
                    <a:prstGeom prst="rect">
                      <a:avLst/>
                    </a:prstGeom>
                  </pic:spPr>
                </pic:pic>
              </a:graphicData>
            </a:graphic>
          </wp:inline>
        </w:drawing>
      </w:r>
    </w:p>
    <w:p>
      <w:pPr>
        <w:pStyle w:val="11"/>
        <w:ind w:firstLine="480"/>
      </w:pPr>
    </w:p>
    <w:p>
      <w:pPr>
        <w:pStyle w:val="11"/>
        <w:ind w:firstLine="480"/>
      </w:pPr>
      <w:r>
        <w:rPr>
          <w:rFonts w:hint="eastAsia"/>
        </w:rPr>
        <w:t>总包及监理单位需对终端的绑定申请进行审核，入口如下：</w:t>
      </w:r>
    </w:p>
    <w:p>
      <w:pPr>
        <w:pStyle w:val="11"/>
        <w:ind w:firstLine="0" w:firstLineChars="0"/>
      </w:pPr>
      <w:r>
        <w:drawing>
          <wp:inline distT="0" distB="0" distL="0" distR="0">
            <wp:extent cx="5274310" cy="159575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1595755"/>
                    </a:xfrm>
                    <a:prstGeom prst="rect">
                      <a:avLst/>
                    </a:prstGeom>
                  </pic:spPr>
                </pic:pic>
              </a:graphicData>
            </a:graphic>
          </wp:inline>
        </w:drawing>
      </w:r>
    </w:p>
    <w:p>
      <w:pPr>
        <w:pStyle w:val="12"/>
        <w:pageBreakBefore/>
      </w:pPr>
      <w:r>
        <w:rPr>
          <w:rFonts w:hint="eastAsia"/>
        </w:rPr>
        <w:t>设备维保</w:t>
      </w:r>
    </w:p>
    <w:p>
      <w:pPr>
        <w:pStyle w:val="11"/>
        <w:ind w:firstLine="480"/>
      </w:pPr>
      <w:r>
        <w:rPr>
          <w:rFonts w:hint="eastAsia"/>
        </w:rPr>
        <w:t>起重机械使用过程中，由维保单位定期对设备进行维保，维保主要在小程序上进行，电脑端可以查看维保记录情况。</w:t>
      </w:r>
    </w:p>
    <w:p>
      <w:pPr>
        <w:pStyle w:val="11"/>
        <w:ind w:firstLine="480"/>
      </w:pPr>
      <w:r>
        <w:t>维保单位</w:t>
      </w:r>
      <w:r>
        <w:rPr>
          <w:rFonts w:hint="eastAsia"/>
        </w:rPr>
        <w:t>小程序进行维保入口如下：</w:t>
      </w:r>
    </w:p>
    <w:p>
      <w:pPr>
        <w:pStyle w:val="11"/>
        <w:ind w:firstLine="0" w:firstLineChars="0"/>
        <w:jc w:val="center"/>
      </w:pPr>
      <w:r>
        <w:drawing>
          <wp:inline distT="0" distB="0" distL="0" distR="0">
            <wp:extent cx="4663440" cy="293370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696465" cy="2954771"/>
                    </a:xfrm>
                    <a:prstGeom prst="rect">
                      <a:avLst/>
                    </a:prstGeom>
                    <a:noFill/>
                    <a:ln>
                      <a:noFill/>
                    </a:ln>
                  </pic:spPr>
                </pic:pic>
              </a:graphicData>
            </a:graphic>
          </wp:inline>
        </w:drawing>
      </w:r>
    </w:p>
    <w:p>
      <w:pPr>
        <w:pStyle w:val="11"/>
        <w:ind w:firstLine="480"/>
      </w:pPr>
      <w:r>
        <w:rPr>
          <w:rFonts w:hint="eastAsia"/>
        </w:rPr>
        <w:t>维保单位可在</w:t>
      </w:r>
      <w:r>
        <w:t>电脑端查看维保记录：</w:t>
      </w:r>
    </w:p>
    <w:p>
      <w:pPr>
        <w:pStyle w:val="11"/>
        <w:ind w:firstLine="0" w:firstLineChars="0"/>
      </w:pPr>
      <w:r>
        <w:drawing>
          <wp:inline distT="0" distB="0" distL="0" distR="0">
            <wp:extent cx="5274310" cy="15995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1599565"/>
                    </a:xfrm>
                    <a:prstGeom prst="rect">
                      <a:avLst/>
                    </a:prstGeom>
                  </pic:spPr>
                </pic:pic>
              </a:graphicData>
            </a:graphic>
          </wp:inline>
        </w:drawing>
      </w:r>
    </w:p>
    <w:p>
      <w:pPr>
        <w:pStyle w:val="11"/>
        <w:ind w:firstLine="0" w:firstLineChars="0"/>
      </w:pPr>
      <w:r>
        <w:drawing>
          <wp:inline distT="0" distB="0" distL="0" distR="0">
            <wp:extent cx="5274310" cy="22402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274310" cy="2240280"/>
                    </a:xfrm>
                    <a:prstGeom prst="rect">
                      <a:avLst/>
                    </a:prstGeom>
                  </pic:spPr>
                </pic:pic>
              </a:graphicData>
            </a:graphic>
          </wp:inline>
        </w:drawing>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ACE2DF-637A-430B-9A49-7F664FC00EE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embedRegular r:id="rId2" w:fontKey="{177AD285-57F1-473C-A354-F4D656AD1D5A}"/>
  </w:font>
  <w:font w:name="等线 Light">
    <w:altName w:val="宋体"/>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704BF480-2A18-4DBB-9ADD-78D212777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780712"/>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9A2F65"/>
    <w:multiLevelType w:val="multilevel"/>
    <w:tmpl w:val="259A2F65"/>
    <w:lvl w:ilvl="0" w:tentative="0">
      <w:start w:val="1"/>
      <w:numFmt w:val="chineseCountingThousand"/>
      <w:pStyle w:val="12"/>
      <w:suff w:val="space"/>
      <w:lvlText w:val="第%1章"/>
      <w:lvlJc w:val="left"/>
      <w:pPr>
        <w:ind w:left="0" w:firstLine="0"/>
      </w:pPr>
      <w:rPr>
        <w:rFonts w:hint="eastAsia"/>
        <w:spacing w:val="0"/>
        <w:w w:val="100"/>
        <w:position w:val="0"/>
      </w:rPr>
    </w:lvl>
    <w:lvl w:ilvl="1" w:tentative="0">
      <w:start w:val="1"/>
      <w:numFmt w:val="decimal"/>
      <w:pStyle w:val="17"/>
      <w:isLgl/>
      <w:suff w:val="space"/>
      <w:lvlText w:val="%1.%2"/>
      <w:lvlJc w:val="left"/>
      <w:pPr>
        <w:ind w:left="0" w:firstLine="0"/>
      </w:pPr>
      <w:rPr>
        <w:rFonts w:hint="eastAsia"/>
      </w:rPr>
    </w:lvl>
    <w:lvl w:ilvl="2" w:tentative="0">
      <w:start w:val="1"/>
      <w:numFmt w:val="decimal"/>
      <w:pStyle w:val="18"/>
      <w:isLgl/>
      <w:suff w:val="space"/>
      <w:lvlText w:val="%1.%2.%3."/>
      <w:lvlJc w:val="left"/>
      <w:pPr>
        <w:ind w:left="0" w:firstLine="0"/>
      </w:pPr>
      <w:rPr>
        <w:rFonts w:hint="eastAsia"/>
      </w:rPr>
    </w:lvl>
    <w:lvl w:ilvl="3" w:tentative="0">
      <w:start w:val="1"/>
      <w:numFmt w:val="decimal"/>
      <w:pStyle w:val="20"/>
      <w:isLgl/>
      <w:suff w:val="space"/>
      <w:lvlText w:val="%1.%2.%3.%4."/>
      <w:lvlJc w:val="left"/>
      <w:pPr>
        <w:ind w:left="0" w:firstLine="0"/>
      </w:pPr>
      <w:rPr>
        <w:rFonts w:hint="eastAsia"/>
      </w:rPr>
    </w:lvl>
    <w:lvl w:ilvl="4" w:tentative="0">
      <w:start w:val="1"/>
      <w:numFmt w:val="decimal"/>
      <w:pStyle w:val="22"/>
      <w:isLgl/>
      <w:suff w:val="space"/>
      <w:lvlText w:val="%1.%2.%3.%4.%5."/>
      <w:lvlJc w:val="left"/>
      <w:pPr>
        <w:ind w:left="0" w:firstLine="0"/>
      </w:pPr>
      <w:rPr>
        <w:rFonts w:hint="eastAsia"/>
      </w:rPr>
    </w:lvl>
    <w:lvl w:ilvl="5" w:tentative="0">
      <w:start w:val="1"/>
      <w:numFmt w:val="decimal"/>
      <w:pStyle w:val="24"/>
      <w:isLgl/>
      <w:suff w:val="space"/>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5Y2VlYjk1OGYzY2JiNTg3NjUyYzlmZDJkMGU1ZTgifQ=="/>
  </w:docVars>
  <w:rsids>
    <w:rsidRoot w:val="00B81935"/>
    <w:rsid w:val="00043226"/>
    <w:rsid w:val="000708BD"/>
    <w:rsid w:val="00077819"/>
    <w:rsid w:val="001002A7"/>
    <w:rsid w:val="00101390"/>
    <w:rsid w:val="001417EF"/>
    <w:rsid w:val="00162529"/>
    <w:rsid w:val="00191F52"/>
    <w:rsid w:val="001B2B23"/>
    <w:rsid w:val="001C78F0"/>
    <w:rsid w:val="002021BF"/>
    <w:rsid w:val="00207BD7"/>
    <w:rsid w:val="002328E5"/>
    <w:rsid w:val="002346ED"/>
    <w:rsid w:val="0024029E"/>
    <w:rsid w:val="00251F4F"/>
    <w:rsid w:val="002E7C08"/>
    <w:rsid w:val="003B7340"/>
    <w:rsid w:val="003D6D74"/>
    <w:rsid w:val="00455959"/>
    <w:rsid w:val="004560E5"/>
    <w:rsid w:val="004B06E4"/>
    <w:rsid w:val="004C0FD5"/>
    <w:rsid w:val="004E0CB7"/>
    <w:rsid w:val="00525E20"/>
    <w:rsid w:val="00553035"/>
    <w:rsid w:val="005645F9"/>
    <w:rsid w:val="005D0392"/>
    <w:rsid w:val="006452EF"/>
    <w:rsid w:val="00695A23"/>
    <w:rsid w:val="006C4BE1"/>
    <w:rsid w:val="006F130A"/>
    <w:rsid w:val="007345D0"/>
    <w:rsid w:val="00772721"/>
    <w:rsid w:val="00781347"/>
    <w:rsid w:val="007B7F0A"/>
    <w:rsid w:val="008467AB"/>
    <w:rsid w:val="008863FF"/>
    <w:rsid w:val="0089508F"/>
    <w:rsid w:val="00897332"/>
    <w:rsid w:val="008B333B"/>
    <w:rsid w:val="008C2EC0"/>
    <w:rsid w:val="009232E5"/>
    <w:rsid w:val="009320F6"/>
    <w:rsid w:val="009538DD"/>
    <w:rsid w:val="009B04B1"/>
    <w:rsid w:val="00A16DDA"/>
    <w:rsid w:val="00A274AA"/>
    <w:rsid w:val="00A4348B"/>
    <w:rsid w:val="00A56F44"/>
    <w:rsid w:val="00A666DF"/>
    <w:rsid w:val="00AB46CE"/>
    <w:rsid w:val="00B30E11"/>
    <w:rsid w:val="00B81935"/>
    <w:rsid w:val="00B85C09"/>
    <w:rsid w:val="00BC11B9"/>
    <w:rsid w:val="00BC33B1"/>
    <w:rsid w:val="00BF0A95"/>
    <w:rsid w:val="00C3284E"/>
    <w:rsid w:val="00CA4CAB"/>
    <w:rsid w:val="00CB037F"/>
    <w:rsid w:val="00CB7C51"/>
    <w:rsid w:val="00D51AFE"/>
    <w:rsid w:val="00DB1D75"/>
    <w:rsid w:val="00DE37F0"/>
    <w:rsid w:val="00E200FB"/>
    <w:rsid w:val="00E3518E"/>
    <w:rsid w:val="00E42BD9"/>
    <w:rsid w:val="00EA5FC5"/>
    <w:rsid w:val="00F10F21"/>
    <w:rsid w:val="00F334F4"/>
    <w:rsid w:val="00F36363"/>
    <w:rsid w:val="2F6D376F"/>
    <w:rsid w:val="59A12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paragraph" w:styleId="10">
    <w:name w:val="List Paragraph"/>
    <w:basedOn w:val="1"/>
    <w:qFormat/>
    <w:uiPriority w:val="34"/>
    <w:pPr>
      <w:ind w:firstLine="420" w:firstLineChars="200"/>
    </w:pPr>
  </w:style>
  <w:style w:type="paragraph" w:customStyle="1" w:styleId="11">
    <w:name w:val="我的正文"/>
    <w:link w:val="15"/>
    <w:qFormat/>
    <w:uiPriority w:val="0"/>
    <w:pPr>
      <w:spacing w:line="360" w:lineRule="auto"/>
      <w:ind w:firstLine="200" w:firstLineChars="200"/>
      <w:jc w:val="both"/>
    </w:pPr>
    <w:rPr>
      <w:rFonts w:ascii="Times New Roman" w:hAnsi="Times New Roman" w:eastAsia="宋体" w:cstheme="minorBidi"/>
      <w:kern w:val="2"/>
      <w:sz w:val="24"/>
      <w:szCs w:val="44"/>
      <w:lang w:val="en-US" w:eastAsia="zh-CN" w:bidi="ar-SA"/>
    </w:rPr>
  </w:style>
  <w:style w:type="paragraph" w:customStyle="1" w:styleId="12">
    <w:name w:val="我的标题1"/>
    <w:basedOn w:val="11"/>
    <w:next w:val="11"/>
    <w:link w:val="16"/>
    <w:qFormat/>
    <w:uiPriority w:val="0"/>
    <w:pPr>
      <w:keepNext/>
      <w:keepLines/>
      <w:numPr>
        <w:ilvl w:val="0"/>
        <w:numId w:val="1"/>
      </w:numPr>
      <w:ind w:firstLineChars="0"/>
      <w:jc w:val="center"/>
      <w:outlineLvl w:val="0"/>
    </w:pPr>
    <w:rPr>
      <w:rFonts w:eastAsia="黑体"/>
      <w:sz w:val="44"/>
    </w:rPr>
  </w:style>
  <w:style w:type="character" w:customStyle="1" w:styleId="13">
    <w:name w:val="标题 1 字符"/>
    <w:basedOn w:val="7"/>
    <w:link w:val="2"/>
    <w:uiPriority w:val="9"/>
    <w:rPr>
      <w:b/>
      <w:bCs/>
      <w:kern w:val="44"/>
      <w:sz w:val="44"/>
      <w:szCs w:val="44"/>
    </w:rPr>
  </w:style>
  <w:style w:type="character" w:customStyle="1" w:styleId="14">
    <w:name w:val="标题 2 字符"/>
    <w:basedOn w:val="7"/>
    <w:link w:val="3"/>
    <w:semiHidden/>
    <w:qFormat/>
    <w:uiPriority w:val="9"/>
    <w:rPr>
      <w:rFonts w:asciiTheme="majorHAnsi" w:hAnsiTheme="majorHAnsi" w:eastAsiaTheme="majorEastAsia" w:cstheme="majorBidi"/>
      <w:b/>
      <w:bCs/>
      <w:sz w:val="32"/>
      <w:szCs w:val="32"/>
    </w:rPr>
  </w:style>
  <w:style w:type="character" w:customStyle="1" w:styleId="15">
    <w:name w:val="我的正文 字符"/>
    <w:basedOn w:val="7"/>
    <w:link w:val="11"/>
    <w:uiPriority w:val="0"/>
    <w:rPr>
      <w:rFonts w:ascii="Times New Roman" w:hAnsi="Times New Roman" w:eastAsia="宋体"/>
      <w:sz w:val="24"/>
      <w:szCs w:val="44"/>
    </w:rPr>
  </w:style>
  <w:style w:type="character" w:customStyle="1" w:styleId="16">
    <w:name w:val="我的标题1 字符"/>
    <w:basedOn w:val="15"/>
    <w:link w:val="12"/>
    <w:uiPriority w:val="0"/>
    <w:rPr>
      <w:rFonts w:ascii="Times New Roman" w:hAnsi="Times New Roman" w:eastAsia="黑体"/>
      <w:sz w:val="44"/>
      <w:szCs w:val="44"/>
    </w:rPr>
  </w:style>
  <w:style w:type="paragraph" w:customStyle="1" w:styleId="17">
    <w:name w:val="我的标题2"/>
    <w:basedOn w:val="11"/>
    <w:next w:val="11"/>
    <w:link w:val="19"/>
    <w:qFormat/>
    <w:uiPriority w:val="0"/>
    <w:pPr>
      <w:numPr>
        <w:ilvl w:val="1"/>
        <w:numId w:val="1"/>
      </w:numPr>
      <w:ind w:firstLineChars="0"/>
      <w:outlineLvl w:val="1"/>
    </w:pPr>
    <w:rPr>
      <w:rFonts w:eastAsia="黑体"/>
      <w:sz w:val="36"/>
    </w:rPr>
  </w:style>
  <w:style w:type="paragraph" w:customStyle="1" w:styleId="18">
    <w:name w:val="我的标题3"/>
    <w:basedOn w:val="11"/>
    <w:next w:val="11"/>
    <w:link w:val="21"/>
    <w:qFormat/>
    <w:uiPriority w:val="0"/>
    <w:pPr>
      <w:numPr>
        <w:ilvl w:val="2"/>
        <w:numId w:val="1"/>
      </w:numPr>
      <w:ind w:firstLineChars="0"/>
      <w:outlineLvl w:val="2"/>
    </w:pPr>
    <w:rPr>
      <w:rFonts w:eastAsia="黑体"/>
      <w:sz w:val="32"/>
    </w:rPr>
  </w:style>
  <w:style w:type="character" w:customStyle="1" w:styleId="19">
    <w:name w:val="我的标题2 字符"/>
    <w:basedOn w:val="15"/>
    <w:link w:val="17"/>
    <w:uiPriority w:val="0"/>
    <w:rPr>
      <w:rFonts w:ascii="Times New Roman" w:hAnsi="Times New Roman" w:eastAsia="黑体"/>
      <w:sz w:val="36"/>
      <w:szCs w:val="44"/>
    </w:rPr>
  </w:style>
  <w:style w:type="paragraph" w:customStyle="1" w:styleId="20">
    <w:name w:val="我的标题4"/>
    <w:basedOn w:val="11"/>
    <w:next w:val="11"/>
    <w:link w:val="23"/>
    <w:qFormat/>
    <w:uiPriority w:val="0"/>
    <w:pPr>
      <w:numPr>
        <w:ilvl w:val="3"/>
        <w:numId w:val="1"/>
      </w:numPr>
      <w:ind w:firstLineChars="0"/>
      <w:outlineLvl w:val="3"/>
    </w:pPr>
    <w:rPr>
      <w:rFonts w:eastAsia="黑体"/>
      <w:sz w:val="30"/>
    </w:rPr>
  </w:style>
  <w:style w:type="character" w:customStyle="1" w:styleId="21">
    <w:name w:val="我的标题3 字符"/>
    <w:basedOn w:val="15"/>
    <w:link w:val="18"/>
    <w:uiPriority w:val="0"/>
    <w:rPr>
      <w:rFonts w:ascii="Times New Roman" w:hAnsi="Times New Roman" w:eastAsia="黑体"/>
      <w:sz w:val="32"/>
      <w:szCs w:val="44"/>
    </w:rPr>
  </w:style>
  <w:style w:type="paragraph" w:customStyle="1" w:styleId="22">
    <w:name w:val="我的标题5"/>
    <w:basedOn w:val="11"/>
    <w:next w:val="11"/>
    <w:link w:val="25"/>
    <w:qFormat/>
    <w:uiPriority w:val="0"/>
    <w:pPr>
      <w:numPr>
        <w:ilvl w:val="4"/>
        <w:numId w:val="1"/>
      </w:numPr>
      <w:ind w:firstLineChars="0"/>
      <w:outlineLvl w:val="4"/>
    </w:pPr>
    <w:rPr>
      <w:rFonts w:eastAsia="黑体"/>
      <w:sz w:val="28"/>
    </w:rPr>
  </w:style>
  <w:style w:type="character" w:customStyle="1" w:styleId="23">
    <w:name w:val="我的标题4 字符"/>
    <w:basedOn w:val="15"/>
    <w:link w:val="20"/>
    <w:uiPriority w:val="0"/>
    <w:rPr>
      <w:rFonts w:ascii="Times New Roman" w:hAnsi="Times New Roman" w:eastAsia="黑体"/>
      <w:sz w:val="30"/>
      <w:szCs w:val="44"/>
    </w:rPr>
  </w:style>
  <w:style w:type="paragraph" w:customStyle="1" w:styleId="24">
    <w:name w:val="我的标题6"/>
    <w:basedOn w:val="11"/>
    <w:next w:val="11"/>
    <w:link w:val="26"/>
    <w:qFormat/>
    <w:uiPriority w:val="0"/>
    <w:pPr>
      <w:numPr>
        <w:ilvl w:val="5"/>
        <w:numId w:val="1"/>
      </w:numPr>
      <w:ind w:firstLineChars="0"/>
      <w:outlineLvl w:val="5"/>
    </w:pPr>
    <w:rPr>
      <w:rFonts w:eastAsia="黑体"/>
    </w:rPr>
  </w:style>
  <w:style w:type="character" w:customStyle="1" w:styleId="25">
    <w:name w:val="我的标题5 字符"/>
    <w:basedOn w:val="15"/>
    <w:link w:val="22"/>
    <w:uiPriority w:val="0"/>
    <w:rPr>
      <w:rFonts w:ascii="Times New Roman" w:hAnsi="Times New Roman" w:eastAsia="黑体"/>
      <w:sz w:val="28"/>
      <w:szCs w:val="44"/>
    </w:rPr>
  </w:style>
  <w:style w:type="character" w:customStyle="1" w:styleId="26">
    <w:name w:val="我的标题6 字符"/>
    <w:basedOn w:val="15"/>
    <w:link w:val="24"/>
    <w:uiPriority w:val="0"/>
    <w:rPr>
      <w:rFonts w:ascii="Times New Roman" w:hAnsi="Times New Roman" w:eastAsia="黑体"/>
      <w:sz w:val="24"/>
      <w:szCs w:val="44"/>
    </w:rPr>
  </w:style>
  <w:style w:type="character" w:customStyle="1" w:styleId="27">
    <w:name w:val="书籍标题1"/>
    <w:basedOn w:val="7"/>
    <w:unhideWhenUsed/>
    <w:qFormat/>
    <w:uiPriority w:val="33"/>
    <w:rPr>
      <w:b/>
      <w:bCs/>
      <w:i/>
      <w:iCs/>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5C69A-4825-451E-927D-EC93CD8E7A31}">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1941</Words>
  <Characters>1972</Characters>
  <Lines>15</Lines>
  <Paragraphs>4</Paragraphs>
  <TotalTime>2</TotalTime>
  <ScaleCrop>false</ScaleCrop>
  <LinksUpToDate>false</LinksUpToDate>
  <CharactersWithSpaces>1972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2020-12-29T07:01:00Z</dcterms:created>
  <dc:creator>张 一永</dc:creator>
  <cp:lastModifiedBy>ZY</cp:lastModifiedBy>
  <dcterms:modified xsi:type="dcterms:W3CDTF">2022-08-10T03:16:24Z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97964087DBDF4282A182EE1E12916B6C</vt:lpwstr>
  </property>
</Properties>
</file>