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C7" w:rsidRDefault="000810C7" w:rsidP="000810C7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57"/>
          <w:szCs w:val="57"/>
        </w:rPr>
      </w:pPr>
      <w:r w:rsidRPr="000810C7">
        <w:rPr>
          <w:rFonts w:ascii="微软雅黑" w:eastAsia="微软雅黑" w:hAnsi="微软雅黑" w:cs="宋体" w:hint="eastAsia"/>
          <w:color w:val="333333"/>
          <w:kern w:val="36"/>
          <w:sz w:val="57"/>
          <w:szCs w:val="57"/>
        </w:rPr>
        <w:t>"两节"期间返乡和外出要注意</w:t>
      </w:r>
    </w:p>
    <w:p w:rsidR="000810C7" w:rsidRPr="000810C7" w:rsidRDefault="000810C7" w:rsidP="000810C7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57"/>
          <w:szCs w:val="57"/>
        </w:rPr>
      </w:pPr>
      <w:r w:rsidRPr="000810C7">
        <w:rPr>
          <w:rFonts w:ascii="微软雅黑" w:eastAsia="微软雅黑" w:hAnsi="微软雅黑" w:cs="宋体" w:hint="eastAsia"/>
          <w:color w:val="333333"/>
          <w:kern w:val="36"/>
          <w:sz w:val="57"/>
          <w:szCs w:val="57"/>
        </w:rPr>
        <w:t>什么？权威解答来了！</w:t>
      </w:r>
    </w:p>
    <w:p w:rsidR="000810C7" w:rsidRPr="000810C7" w:rsidRDefault="000810C7" w:rsidP="000810C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0810C7">
        <w:rPr>
          <w:rFonts w:ascii="宋体" w:eastAsia="宋体" w:hAnsi="宋体" w:cs="宋体" w:hint="eastAsia"/>
          <w:color w:val="666666"/>
          <w:kern w:val="0"/>
          <w:szCs w:val="21"/>
        </w:rPr>
        <w:t>2021-12-21 07:54 </w:t>
      </w:r>
      <w:r w:rsidRPr="000810C7">
        <w:rPr>
          <w:rFonts w:ascii="宋体" w:eastAsia="宋体" w:hAnsi="宋体" w:cs="宋体" w:hint="eastAsia"/>
          <w:color w:val="666666"/>
          <w:kern w:val="0"/>
        </w:rPr>
        <w:t>来源： 新华社</w:t>
      </w:r>
    </w:p>
    <w:p w:rsidR="000810C7" w:rsidRPr="000810C7" w:rsidRDefault="000810C7" w:rsidP="000810C7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0810C7">
        <w:rPr>
          <w:rFonts w:ascii="宋体" w:eastAsia="宋体" w:hAnsi="宋体" w:cs="宋体" w:hint="eastAsia"/>
          <w:color w:val="666666"/>
          <w:kern w:val="0"/>
        </w:rPr>
        <w:t>【字体：大 中 小】打印</w:t>
      </w:r>
    </w:p>
    <w:p w:rsidR="000810C7" w:rsidRPr="000810C7" w:rsidRDefault="000810C7" w:rsidP="000810C7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898989"/>
          <w:kern w:val="0"/>
          <w:szCs w:val="21"/>
        </w:rPr>
      </w:pPr>
      <w:r w:rsidRPr="000810C7">
        <w:rPr>
          <w:rFonts w:ascii="宋体" w:eastAsia="宋体" w:hAnsi="宋体" w:cs="宋体" w:hint="eastAsia"/>
          <w:color w:val="898989"/>
          <w:kern w:val="0"/>
          <w:szCs w:val="21"/>
        </w:rPr>
        <w:t> </w:t>
      </w:r>
    </w:p>
    <w:p w:rsidR="000810C7" w:rsidRPr="000810C7" w:rsidRDefault="000810C7" w:rsidP="000810C7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898989"/>
          <w:kern w:val="0"/>
          <w:szCs w:val="21"/>
        </w:rPr>
      </w:pPr>
      <w:r w:rsidRPr="000810C7">
        <w:rPr>
          <w:rFonts w:ascii="宋体" w:eastAsia="宋体" w:hAnsi="宋体" w:cs="宋体" w:hint="eastAsia"/>
          <w:color w:val="898989"/>
          <w:kern w:val="0"/>
          <w:szCs w:val="21"/>
        </w:rPr>
        <w:t>    </w:t>
      </w:r>
      <w:r w:rsidRPr="000810C7">
        <w:rPr>
          <w:rFonts w:ascii="宋体" w:eastAsia="宋体" w:hAnsi="宋体" w:cs="宋体" w:hint="eastAsia"/>
          <w:color w:val="898989"/>
          <w:kern w:val="0"/>
        </w:rPr>
        <w:t> 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新华社北京12月20日电 </w:t>
      </w:r>
      <w:r w:rsidRPr="000810C7">
        <w:rPr>
          <w:rFonts w:ascii="宋体" w:eastAsia="宋体" w:hAnsi="宋体" w:cs="宋体" w:hint="eastAsia"/>
          <w:b/>
          <w:bCs/>
          <w:color w:val="333399"/>
          <w:kern w:val="0"/>
          <w:sz w:val="24"/>
          <w:szCs w:val="24"/>
        </w:rPr>
        <w:t>题：“两节”期间返乡和外出要注意什么？权威解答来了！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新华社记者 </w:t>
      </w:r>
      <w:proofErr w:type="gramStart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沐铁城</w:t>
      </w:r>
      <w:proofErr w:type="gramEnd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、徐鹏航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当前，全球新冠肺炎疫情大流行仍处于高位运行，新型变异株不断出现，我国持续面临较大的疫情输入压力。2022年元旦和春节（以下简称“两节”）期间，境外回国人员增多，境内人员流动性增加，疫情输入和传播风险加大，防控形势严峻复杂。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做好“两节”期间疫情防控工作，国务院应对新型冠状病毒肺炎疫情联防联控机制综合组制定了《2022年元旦春节期间新冠肺炎疫情防控工作方案》。“两节”期间，返乡和外出的居民应注意什么？个人应做好哪些防护措施？健康码“变黄”对出行有何影响？相关专家进行权威解答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返乡和外出的居民应注意哪些防控要求？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专家提示，考虑到我国幅员辽阔，各地自然和社会经济状况不同，疫情形势、传播风险和防控重点存在差异，各省（自治区、直辖市）要根据当地疫情形势和实际情况，按照科学精准防控要求制定辖区内的人员出行要求并对外发布。“两节”期间，个人要关注出行要求，自觉落实疫情防控措施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如果一个居民所在的县（市、区、旗）发生疫情，那么他能否外出？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发生本地疫情后，所在的县（市、区、旗）人员严格限制出行，落实当地流行病学调查、风险人员排查、核酸检测、健康监测和社区防控等要求。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执行特定公务、保障生产生活物资运输等人员确需出行的，经当地联防联控机制批准，须持48小时内核酸检测阴性证明，做好旅途个人防护，遵守目的地疫情防控规定。当地联防联控机制要公布审批要求和流程。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中、高风险地区所在地市的其他无疫情县（市、区、旗）人员能否出行？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发生本地疫情后，中、高风险地区所在地市的其他非疫情县（市、区、旗）人员非必要不出行，按照要求配合开展流行病学调查、风险人员排查等工作；确需出行的须持48小时内核酸检测阴性证明，做好旅途个人防护，遵守目的地疫情防控规定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可以前往中、高风险地区所在县（市、区、旗）吗？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为防范感染风险，严格限制前往中、高风险地区及所在县（市、区、旗），已经前往的人员须遵守当地疫情防控规定。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执行特定公务、保障生产生活物资运输等确需前往的人员，按照当地有关防</w:t>
      </w:r>
      <w:proofErr w:type="gramStart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控政策</w:t>
      </w:r>
      <w:proofErr w:type="gramEnd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和规定执行。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非必要</w:t>
      </w:r>
      <w:proofErr w:type="gramStart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前往中、高风险地区所在地市的其他县（市、区、旗），已经前往的人员须遵守当地疫情防控规定。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高风险岗位人员出行会受到限制吗？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有关部门和企事业单位要对口岸接触入境人员、物品、环境的高风险岗位人员以及集中隔离场所、定点医疗机构、发热门诊、进口冷</w:t>
      </w:r>
      <w:proofErr w:type="gramStart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链食品</w:t>
      </w:r>
      <w:proofErr w:type="gramEnd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加工企业等的高风险岗位人员登记造册，工作期间严格落实规范防护、闭环管理、高频次核酸检测等措施。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“两节”期间，高风险岗位人员应尽量避免出行，确需出行应向所在单位报备，满足脱离工作岗位14天以上、持48小时内核酸检测阴性证明等条件。旅途中做好个人防护，遵守目的地疫情防控规定。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出现发热、咳嗽等呼吸道症状，还能出行吗？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出行前，如出现发热、咳嗽等呼吸道症状，应暂时中止出行计划，避免旅途劳累症状加重，并及时就医，待康复后再安排出行。旅途中做好个人防护，遵守目的地疫情防控规定。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健康</w:t>
      </w:r>
      <w:proofErr w:type="gramStart"/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码变成</w:t>
      </w:r>
      <w:proofErr w:type="gramEnd"/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“黄码”，对出行有哪些影响？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健康码“黄码”人员应履行个人防</w:t>
      </w:r>
      <w:proofErr w:type="gramStart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控责任</w:t>
      </w:r>
      <w:proofErr w:type="gramEnd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和义务，主动配合当地做好健康监测和核酸检测，避免外出。在健康码由“黄码”转为“绿码”且无异常症状后，可正常出行。旅途中做好个人防护，遵守目的地疫情防控规定。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寒假结束或春节后，对于高校学生返校或务工人员返岗有什么具体安排和要求？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为降低疫情发生风险，避免集中返校返岗时人员聚集，提倡高校或企业安排错峰返校返岗；并可根据实际情况，要求学生或务工人员返校或返岗时持48小时内核酸检测阴性证明。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能否组织宴会等聚集性活动？规模是否要有所限制？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近期，部分地方发生本地疫情后，通过聚餐、婚宴、丧事等人群聚集活动，引起疫情的快速传播和扩散。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降低疫情传播的风险，“两节”期间应严控庙会、大型文艺演出、展销促销等活动，尽量不举办大规模人员聚集性活动，家庭聚餐聚会等不超过10人，提倡“喜事缓办，丧事简办，宴会不办”，确需举办的尽可能缩小活动规模。自行举办5桌以上宴会等聚餐活动的个人，须向属地社区居委会或村委会报备，落实疫情防控规定。</w:t>
      </w:r>
      <w:proofErr w:type="gramStart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抵边乡镇</w:t>
      </w:r>
      <w:proofErr w:type="gramEnd"/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避免举行大规模人员聚集性活动。</w:t>
      </w:r>
    </w:p>
    <w:p w:rsidR="000810C7" w:rsidRPr="000810C7" w:rsidRDefault="000810C7" w:rsidP="000810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个人应注意哪些防护措施？</w:t>
      </w:r>
    </w:p>
    <w:p w:rsidR="000810C7" w:rsidRPr="000810C7" w:rsidRDefault="000810C7" w:rsidP="000810C7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810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节假日期间，公众应加强自我防护，在公共交通工具、电梯等密闭场所以及人群聚集的室外场所全程规范佩戴口罩。注意勤洗手，咳嗽、打喷嚏时注意遮挡，保持1米以上的社交距离。室内经常开窗通风，保持空气流通。60岁及以上老年人和严重慢性病患者等人群，应尽量减少去人群聚集场所。</w:t>
      </w:r>
    </w:p>
    <w:p w:rsidR="0098495B" w:rsidRPr="000810C7" w:rsidRDefault="0098495B">
      <w:pPr>
        <w:rPr>
          <w:rFonts w:hint="eastAsia"/>
        </w:rPr>
      </w:pPr>
    </w:p>
    <w:sectPr w:rsidR="0098495B" w:rsidRPr="000810C7" w:rsidSect="0098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0C7"/>
    <w:rsid w:val="000810C7"/>
    <w:rsid w:val="0098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1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10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0810C7"/>
  </w:style>
  <w:style w:type="character" w:customStyle="1" w:styleId="bigger">
    <w:name w:val="bigger"/>
    <w:basedOn w:val="a0"/>
    <w:rsid w:val="000810C7"/>
  </w:style>
  <w:style w:type="character" w:customStyle="1" w:styleId="medium">
    <w:name w:val="medium"/>
    <w:basedOn w:val="a0"/>
    <w:rsid w:val="000810C7"/>
  </w:style>
  <w:style w:type="character" w:customStyle="1" w:styleId="smaller">
    <w:name w:val="smaller"/>
    <w:basedOn w:val="a0"/>
    <w:rsid w:val="000810C7"/>
  </w:style>
  <w:style w:type="character" w:customStyle="1" w:styleId="gwdsmore">
    <w:name w:val="gwds_more"/>
    <w:basedOn w:val="a0"/>
    <w:rsid w:val="000810C7"/>
  </w:style>
  <w:style w:type="paragraph" w:styleId="a3">
    <w:name w:val="Normal (Web)"/>
    <w:basedOn w:val="a"/>
    <w:uiPriority w:val="99"/>
    <w:semiHidden/>
    <w:unhideWhenUsed/>
    <w:rsid w:val="000810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5846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1661</Characters>
  <Application>Microsoft Office Word</Application>
  <DocSecurity>0</DocSecurity>
  <Lines>13</Lines>
  <Paragraphs>3</Paragraphs>
  <ScaleCrop>false</ScaleCrop>
  <Company>微软中国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2021-12-27T08:55:00Z</dcterms:created>
  <dcterms:modified xsi:type="dcterms:W3CDTF">2021-12-27T08:58:00Z</dcterms:modified>
</cp:coreProperties>
</file>